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B8200" w14:textId="77777777" w:rsidR="00770344" w:rsidRPr="00770344" w:rsidRDefault="00972A3C" w:rsidP="00770344">
      <w:pPr>
        <w:pStyle w:val="Titolo"/>
      </w:pPr>
      <w:r w:rsidRPr="00770344">
        <w:rPr>
          <w:rFonts w:ascii="Tahoma" w:eastAsia="Calibri" w:hAnsi="Tahoma" w:cs="Tahoma"/>
          <w:sz w:val="16"/>
          <w:szCs w:val="16"/>
          <w:lang w:eastAsia="en-US"/>
        </w:rPr>
        <w:t xml:space="preserve"> </w:t>
      </w:r>
      <w:bookmarkStart w:id="0" w:name="OLE_LINK1"/>
      <w:r w:rsidR="00770344" w:rsidRPr="00770344">
        <w:t xml:space="preserve">SCHEDA PER </w:t>
      </w:r>
      <w:smartTag w:uri="urn:schemas-microsoft-com:office:smarttags" w:element="PersonName">
        <w:smartTagPr>
          <w:attr w:name="ProductID" w:val="LA VALUTAZIONE DEI"/>
        </w:smartTagPr>
        <w:r w:rsidR="00770344" w:rsidRPr="00770344">
          <w:t>LA VALUTAZIONE DEI</w:t>
        </w:r>
      </w:smartTag>
      <w:r w:rsidR="00770344" w:rsidRPr="00770344">
        <w:t xml:space="preserve"> TITOLI</w:t>
      </w:r>
      <w:bookmarkEnd w:id="0"/>
      <w:r w:rsidR="00770344" w:rsidRPr="00770344">
        <w:t xml:space="preserve"> FINALIZZATA ALLA COMPILAZIONE</w:t>
      </w:r>
    </w:p>
    <w:p w14:paraId="4F871556" w14:textId="6461BE31" w:rsidR="00770344" w:rsidRPr="00770344" w:rsidRDefault="00770344" w:rsidP="00770344">
      <w:pPr>
        <w:pStyle w:val="Sottotitolo"/>
        <w:rPr>
          <w:sz w:val="18"/>
          <w:szCs w:val="18"/>
        </w:rPr>
      </w:pPr>
      <w:r w:rsidRPr="00770344">
        <w:rPr>
          <w:sz w:val="18"/>
          <w:szCs w:val="18"/>
        </w:rPr>
        <w:t xml:space="preserve">DELLA GRADUATORIA DI ISTITUTO PER L’INDIVIDUAZIONE DEI </w:t>
      </w:r>
      <w:r w:rsidRPr="00770344">
        <w:rPr>
          <w:sz w:val="18"/>
          <w:szCs w:val="18"/>
        </w:rPr>
        <w:t xml:space="preserve">PERSONALE ATA </w:t>
      </w:r>
      <w:r w:rsidRPr="00770344">
        <w:rPr>
          <w:sz w:val="18"/>
          <w:szCs w:val="18"/>
        </w:rPr>
        <w:t>SOPRANNUMERARI</w:t>
      </w:r>
      <w:r w:rsidRPr="00770344">
        <w:rPr>
          <w:sz w:val="18"/>
          <w:szCs w:val="18"/>
        </w:rPr>
        <w:t>O</w:t>
      </w:r>
    </w:p>
    <w:p w14:paraId="0C4A6E32" w14:textId="77777777" w:rsidR="00770344" w:rsidRDefault="00770344" w:rsidP="00770344">
      <w:pPr>
        <w:jc w:val="center"/>
        <w:rPr>
          <w:b/>
          <w:bCs/>
          <w:sz w:val="8"/>
          <w:szCs w:val="8"/>
        </w:rPr>
      </w:pPr>
    </w:p>
    <w:p w14:paraId="1E722180" w14:textId="77777777" w:rsidR="00770344" w:rsidRDefault="00770344" w:rsidP="00770344">
      <w:pPr>
        <w:jc w:val="right"/>
        <w:rPr>
          <w:b/>
        </w:rPr>
      </w:pPr>
      <w:r w:rsidRPr="00592037">
        <w:rPr>
          <w:b/>
        </w:rPr>
        <w:t>Al Dirigente scolastico del</w:t>
      </w:r>
      <w:r>
        <w:rPr>
          <w:b/>
        </w:rPr>
        <w:t>l’I</w:t>
      </w:r>
      <w:r w:rsidRPr="00592037">
        <w:rPr>
          <w:b/>
        </w:rPr>
        <w:t>C Madre Claudia Russo</w:t>
      </w:r>
      <w:r>
        <w:rPr>
          <w:b/>
        </w:rPr>
        <w:t xml:space="preserve">-Solimena – </w:t>
      </w:r>
      <w:r w:rsidRPr="00592037">
        <w:rPr>
          <w:b/>
        </w:rPr>
        <w:t>Napoli</w:t>
      </w:r>
    </w:p>
    <w:p w14:paraId="48EB068E" w14:textId="1B7BDADB" w:rsidR="00770344" w:rsidRDefault="00770344" w:rsidP="00972A3C">
      <w:pPr>
        <w:autoSpaceDE/>
        <w:autoSpaceDN/>
        <w:spacing w:after="200" w:line="276" w:lineRule="auto"/>
        <w:rPr>
          <w:rFonts w:ascii="Tahoma" w:eastAsia="Calibri" w:hAnsi="Tahoma" w:cs="Tahoma"/>
          <w:b/>
          <w:sz w:val="18"/>
          <w:szCs w:val="18"/>
          <w:lang w:eastAsia="en-US"/>
        </w:rPr>
      </w:pPr>
    </w:p>
    <w:p w14:paraId="5CB6DBBC" w14:textId="7F794024" w:rsidR="00770344" w:rsidRPr="00DF5C68" w:rsidRDefault="00770344" w:rsidP="00770344">
      <w:pPr>
        <w:pStyle w:val="Intestazione"/>
        <w:tabs>
          <w:tab w:val="clear" w:pos="4819"/>
          <w:tab w:val="clear" w:pos="9638"/>
        </w:tabs>
        <w:jc w:val="both"/>
        <w:rPr>
          <w:sz w:val="19"/>
          <w:szCs w:val="19"/>
        </w:rPr>
      </w:pPr>
      <w:r w:rsidRPr="00DF5C68">
        <w:rPr>
          <w:sz w:val="19"/>
          <w:szCs w:val="19"/>
        </w:rPr>
        <w:t xml:space="preserve">_l_ sottoscritt_    ____________________   nat_  a  _________________ il __________, </w:t>
      </w:r>
      <w:r>
        <w:rPr>
          <w:sz w:val="19"/>
          <w:szCs w:val="19"/>
        </w:rPr>
        <w:t xml:space="preserve">in servizio </w:t>
      </w:r>
      <w:r>
        <w:rPr>
          <w:sz w:val="19"/>
          <w:szCs w:val="19"/>
        </w:rPr>
        <w:t xml:space="preserve">a </w:t>
      </w:r>
      <w:r w:rsidRPr="00DF5C68">
        <w:rPr>
          <w:sz w:val="19"/>
          <w:szCs w:val="19"/>
        </w:rPr>
        <w:t xml:space="preserve">tempo indeterminato </w:t>
      </w:r>
      <w:r>
        <w:rPr>
          <w:sz w:val="19"/>
          <w:szCs w:val="19"/>
        </w:rPr>
        <w:t xml:space="preserve">presso </w:t>
      </w:r>
      <w:r w:rsidRPr="00DF5C68">
        <w:rPr>
          <w:sz w:val="19"/>
          <w:szCs w:val="19"/>
        </w:rPr>
        <w:t xml:space="preserve">codesto </w:t>
      </w:r>
      <w:r>
        <w:rPr>
          <w:sz w:val="19"/>
          <w:szCs w:val="19"/>
        </w:rPr>
        <w:t>I.C.</w:t>
      </w:r>
      <w:r w:rsidRPr="00DF5C68">
        <w:rPr>
          <w:sz w:val="19"/>
          <w:szCs w:val="19"/>
        </w:rPr>
        <w:t xml:space="preserve"> </w:t>
      </w:r>
      <w:r>
        <w:rPr>
          <w:sz w:val="19"/>
          <w:szCs w:val="19"/>
        </w:rPr>
        <w:t>nel profilo di ____________________________________________________</w:t>
      </w:r>
      <w:r w:rsidR="006B02C4">
        <w:rPr>
          <w:sz w:val="19"/>
          <w:szCs w:val="19"/>
        </w:rPr>
        <w:t xml:space="preserve">, con </w:t>
      </w:r>
      <w:r w:rsidR="006B02C4">
        <w:t>data</w:t>
      </w:r>
      <w:r w:rsidR="006B02C4">
        <w:rPr>
          <w:spacing w:val="-9"/>
        </w:rPr>
        <w:t xml:space="preserve"> </w:t>
      </w:r>
      <w:r w:rsidR="006B02C4">
        <w:t>di</w:t>
      </w:r>
      <w:r w:rsidR="006B02C4">
        <w:rPr>
          <w:spacing w:val="-7"/>
        </w:rPr>
        <w:t xml:space="preserve"> </w:t>
      </w:r>
      <w:r w:rsidR="006B02C4">
        <w:t>assunzione</w:t>
      </w:r>
      <w:r w:rsidR="006B02C4">
        <w:rPr>
          <w:spacing w:val="-8"/>
        </w:rPr>
        <w:t xml:space="preserve"> </w:t>
      </w:r>
      <w:r w:rsidR="006B02C4">
        <w:t>in</w:t>
      </w:r>
      <w:r w:rsidR="006B02C4">
        <w:rPr>
          <w:spacing w:val="-8"/>
        </w:rPr>
        <w:t xml:space="preserve"> </w:t>
      </w:r>
      <w:r w:rsidR="006B02C4">
        <w:t>servizio</w:t>
      </w:r>
      <w:r w:rsidR="006B02C4">
        <w:rPr>
          <w:spacing w:val="-8"/>
        </w:rPr>
        <w:t xml:space="preserve"> </w:t>
      </w:r>
      <w:r w:rsidR="006B02C4">
        <w:t>nella</w:t>
      </w:r>
      <w:r w:rsidR="006B02C4">
        <w:rPr>
          <w:spacing w:val="-8"/>
        </w:rPr>
        <w:t xml:space="preserve"> </w:t>
      </w:r>
      <w:r w:rsidR="006B02C4">
        <w:t>sede</w:t>
      </w:r>
      <w:r w:rsidR="006B02C4">
        <w:rPr>
          <w:spacing w:val="-7"/>
        </w:rPr>
        <w:t xml:space="preserve"> </w:t>
      </w:r>
      <w:r w:rsidR="006B02C4">
        <w:t>di</w:t>
      </w:r>
      <w:r w:rsidR="006B02C4">
        <w:rPr>
          <w:spacing w:val="-10"/>
        </w:rPr>
        <w:t xml:space="preserve"> </w:t>
      </w:r>
      <w:r w:rsidR="006B02C4">
        <w:t xml:space="preserve">titolarità </w:t>
      </w:r>
      <w:r w:rsidR="006B02C4">
        <w:rPr>
          <w:sz w:val="19"/>
          <w:szCs w:val="19"/>
        </w:rPr>
        <w:t>_________________________________________</w:t>
      </w:r>
      <w:r w:rsidR="006B02C4" w:rsidRPr="006B02C4">
        <w:t xml:space="preserve">, </w:t>
      </w:r>
      <w:r w:rsidR="006B02C4">
        <w:t>data</w:t>
      </w:r>
      <w:r w:rsidR="006B02C4">
        <w:rPr>
          <w:spacing w:val="-11"/>
        </w:rPr>
        <w:t xml:space="preserve"> </w:t>
      </w:r>
      <w:r w:rsidR="006B02C4">
        <w:t>di</w:t>
      </w:r>
      <w:r w:rsidR="006B02C4">
        <w:rPr>
          <w:spacing w:val="-10"/>
        </w:rPr>
        <w:t xml:space="preserve"> </w:t>
      </w:r>
      <w:r w:rsidR="006B02C4">
        <w:t>decorrenza</w:t>
      </w:r>
      <w:r w:rsidR="006B02C4">
        <w:rPr>
          <w:spacing w:val="-11"/>
        </w:rPr>
        <w:t xml:space="preserve"> </w:t>
      </w:r>
      <w:r w:rsidR="006B02C4">
        <w:t>giuridica</w:t>
      </w:r>
      <w:r w:rsidR="006B02C4">
        <w:rPr>
          <w:spacing w:val="-11"/>
        </w:rPr>
        <w:t xml:space="preserve"> </w:t>
      </w:r>
      <w:r w:rsidR="006B02C4">
        <w:t>della</w:t>
      </w:r>
      <w:r w:rsidR="006B02C4">
        <w:rPr>
          <w:spacing w:val="-11"/>
        </w:rPr>
        <w:t xml:space="preserve"> </w:t>
      </w:r>
      <w:r w:rsidR="006B02C4">
        <w:t>nomina</w:t>
      </w:r>
      <w:r w:rsidR="006B02C4">
        <w:rPr>
          <w:spacing w:val="2"/>
        </w:rPr>
        <w:t xml:space="preserve"> </w:t>
      </w:r>
      <w:r w:rsidR="006B02C4" w:rsidRPr="006B02C4">
        <w:rPr>
          <w:w w:val="99"/>
        </w:rPr>
        <w:t>___________________________</w:t>
      </w:r>
      <w:r w:rsidR="006B02C4" w:rsidRPr="006B02C4">
        <w:rPr>
          <w:w w:val="42"/>
        </w:rPr>
        <w:t xml:space="preserve"> </w:t>
      </w:r>
      <w:r w:rsidR="006B02C4" w:rsidRPr="006B02C4">
        <w:t xml:space="preserve">  e data</w:t>
      </w:r>
      <w:r w:rsidR="006B02C4" w:rsidRPr="006B02C4">
        <w:rPr>
          <w:spacing w:val="-11"/>
        </w:rPr>
        <w:t xml:space="preserve"> </w:t>
      </w:r>
      <w:r w:rsidR="006B02C4" w:rsidRPr="006B02C4">
        <w:t>di</w:t>
      </w:r>
      <w:r w:rsidR="006B02C4" w:rsidRPr="006B02C4">
        <w:rPr>
          <w:spacing w:val="-8"/>
        </w:rPr>
        <w:t xml:space="preserve"> </w:t>
      </w:r>
      <w:r w:rsidR="006B02C4" w:rsidRPr="006B02C4">
        <w:t>decorrenza</w:t>
      </w:r>
      <w:r w:rsidR="006B02C4" w:rsidRPr="006B02C4">
        <w:rPr>
          <w:spacing w:val="-11"/>
        </w:rPr>
        <w:t xml:space="preserve"> </w:t>
      </w:r>
      <w:r w:rsidR="006B02C4" w:rsidRPr="006B02C4">
        <w:t>economica</w:t>
      </w:r>
      <w:r w:rsidR="006B02C4" w:rsidRPr="006B02C4">
        <w:rPr>
          <w:spacing w:val="-10"/>
        </w:rPr>
        <w:t xml:space="preserve"> </w:t>
      </w:r>
      <w:r w:rsidR="006B02C4" w:rsidRPr="006B02C4">
        <w:t>della</w:t>
      </w:r>
      <w:r w:rsidR="006B02C4" w:rsidRPr="006B02C4">
        <w:rPr>
          <w:spacing w:val="-10"/>
        </w:rPr>
        <w:t xml:space="preserve"> </w:t>
      </w:r>
      <w:r w:rsidR="006B02C4" w:rsidRPr="006B02C4">
        <w:t>nomina</w:t>
      </w:r>
      <w:r w:rsidR="006B02C4" w:rsidRPr="006B02C4">
        <w:rPr>
          <w:spacing w:val="2"/>
        </w:rPr>
        <w:t xml:space="preserve"> </w:t>
      </w:r>
      <w:r w:rsidR="006B02C4" w:rsidRPr="006B02C4">
        <w:rPr>
          <w:w w:val="99"/>
        </w:rPr>
        <w:t xml:space="preserve"> </w:t>
      </w:r>
      <w:r w:rsidR="006B02C4">
        <w:rPr>
          <w:w w:val="99"/>
        </w:rPr>
        <w:t>__________________________</w:t>
      </w:r>
      <w:bookmarkStart w:id="1" w:name="_GoBack"/>
      <w:bookmarkEnd w:id="1"/>
      <w:r w:rsidR="006B02C4">
        <w:rPr>
          <w:w w:val="99"/>
        </w:rPr>
        <w:t>______</w:t>
      </w:r>
      <w:r w:rsidR="006B02C4">
        <w:t xml:space="preserve">  </w:t>
      </w:r>
      <w:r w:rsidRPr="00DF5C68">
        <w:rPr>
          <w:sz w:val="19"/>
          <w:szCs w:val="19"/>
        </w:rPr>
        <w:t xml:space="preserve">ai sensi del </w:t>
      </w:r>
      <w:r w:rsidRPr="00DF5C68">
        <w:rPr>
          <w:b/>
          <w:bCs/>
          <w:sz w:val="19"/>
          <w:szCs w:val="19"/>
        </w:rPr>
        <w:t xml:space="preserve">D.P.R. 28.12.2000, n. 445 </w:t>
      </w:r>
      <w:r w:rsidRPr="00DF5C68">
        <w:rPr>
          <w:sz w:val="19"/>
          <w:szCs w:val="19"/>
        </w:rPr>
        <w:t xml:space="preserve">(Testo unico delle disposizioni legislative e regolamentari in materia di documentazione amministrativa), consapevole delle responsabilità civili e penali cui va incontro in caso di dichiarazioni non corrispondenti al vero, </w:t>
      </w:r>
      <w:r w:rsidRPr="00DF5C68">
        <w:rPr>
          <w:b/>
          <w:bCs/>
          <w:sz w:val="19"/>
          <w:szCs w:val="19"/>
        </w:rPr>
        <w:t>dichiara sotto la propria responsabilità</w:t>
      </w:r>
      <w:r w:rsidRPr="00DF5C68">
        <w:rPr>
          <w:sz w:val="19"/>
          <w:szCs w:val="19"/>
        </w:rPr>
        <w:t>, ai fini della compilazione dell</w:t>
      </w:r>
      <w:r>
        <w:rPr>
          <w:sz w:val="19"/>
          <w:szCs w:val="19"/>
        </w:rPr>
        <w:t>e</w:t>
      </w:r>
      <w:r w:rsidRPr="00DF5C68">
        <w:rPr>
          <w:sz w:val="19"/>
          <w:szCs w:val="19"/>
        </w:rPr>
        <w:t xml:space="preserve"> graduatori</w:t>
      </w:r>
      <w:r>
        <w:rPr>
          <w:sz w:val="19"/>
          <w:szCs w:val="19"/>
        </w:rPr>
        <w:t>e</w:t>
      </w:r>
      <w:r w:rsidRPr="00DF5C68">
        <w:rPr>
          <w:sz w:val="19"/>
          <w:szCs w:val="19"/>
        </w:rPr>
        <w:t xml:space="preserve"> di </w:t>
      </w:r>
      <w:r>
        <w:rPr>
          <w:sz w:val="19"/>
          <w:szCs w:val="19"/>
        </w:rPr>
        <w:t>istituto</w:t>
      </w:r>
      <w:r w:rsidRPr="00DF5C68">
        <w:rPr>
          <w:sz w:val="19"/>
          <w:szCs w:val="19"/>
        </w:rPr>
        <w:t xml:space="preserve"> previst</w:t>
      </w:r>
      <w:r>
        <w:rPr>
          <w:sz w:val="19"/>
          <w:szCs w:val="19"/>
        </w:rPr>
        <w:t>e</w:t>
      </w:r>
      <w:r w:rsidRPr="00DF5C68">
        <w:rPr>
          <w:sz w:val="19"/>
          <w:szCs w:val="19"/>
        </w:rPr>
        <w:t xml:space="preserve"> </w:t>
      </w:r>
      <w:r>
        <w:rPr>
          <w:sz w:val="19"/>
          <w:szCs w:val="19"/>
        </w:rPr>
        <w:t>dal</w:t>
      </w:r>
      <w:r w:rsidRPr="00DF5C68">
        <w:rPr>
          <w:sz w:val="19"/>
          <w:szCs w:val="19"/>
        </w:rPr>
        <w:t xml:space="preserve"> CCNI 2019/22, </w:t>
      </w:r>
      <w:r w:rsidRPr="00DF5C68">
        <w:rPr>
          <w:b/>
          <w:bCs/>
          <w:sz w:val="19"/>
          <w:szCs w:val="19"/>
        </w:rPr>
        <w:t>di aver diritto al seguente punteggio:</w:t>
      </w:r>
    </w:p>
    <w:p w14:paraId="2FB610E4" w14:textId="77777777" w:rsidR="00770344" w:rsidRDefault="00770344" w:rsidP="00972A3C">
      <w:pPr>
        <w:autoSpaceDE/>
        <w:autoSpaceDN/>
        <w:spacing w:after="200" w:line="276" w:lineRule="auto"/>
        <w:rPr>
          <w:rFonts w:ascii="Tahoma" w:eastAsia="Calibri" w:hAnsi="Tahoma" w:cs="Tahoma"/>
          <w:sz w:val="18"/>
          <w:szCs w:val="18"/>
          <w:lang w:eastAsia="en-US"/>
        </w:rPr>
      </w:pPr>
    </w:p>
    <w:p w14:paraId="35606CCA" w14:textId="694577CE" w:rsidR="00972A3C" w:rsidRPr="00CC2A50" w:rsidRDefault="00972A3C" w:rsidP="00972A3C">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I - ANZIANITÀ DI SERVIZIO: (F)</w:t>
      </w:r>
    </w:p>
    <w:tbl>
      <w:tblPr>
        <w:tblW w:w="9709" w:type="dxa"/>
        <w:tblLayout w:type="fixed"/>
        <w:tblCellMar>
          <w:left w:w="10" w:type="dxa"/>
          <w:right w:w="10" w:type="dxa"/>
        </w:tblCellMar>
        <w:tblLook w:val="0000" w:firstRow="0" w:lastRow="0" w:firstColumn="0" w:lastColumn="0" w:noHBand="0" w:noVBand="0"/>
      </w:tblPr>
      <w:tblGrid>
        <w:gridCol w:w="7583"/>
        <w:gridCol w:w="2126"/>
      </w:tblGrid>
      <w:tr w:rsidR="00972A3C" w:rsidRPr="00CC2A50" w14:paraId="173A6232" w14:textId="77777777" w:rsidTr="00241D48">
        <w:tc>
          <w:tcPr>
            <w:tcW w:w="7583"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4F3A6051"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Tipo di servizio</w:t>
            </w:r>
          </w:p>
        </w:tc>
        <w:tc>
          <w:tcPr>
            <w:tcW w:w="2126"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0D8DE297"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Punteggio </w:t>
            </w:r>
          </w:p>
        </w:tc>
      </w:tr>
      <w:tr w:rsidR="00972A3C" w:rsidRPr="00CC2A50" w14:paraId="098A2EDB" w14:textId="77777777" w:rsidTr="00241D48">
        <w:trPr>
          <w:trHeight w:val="1147"/>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5D5D981" w14:textId="76B2D078"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 per ogni mese o frazione superiore a 15 giorni di servizio effettivamente prestato successivamente alla decorrenza giuridica della nomina nel profilo professionale di appartenenza (2) (a) (da computarsi fino alla data di scadenza del termine di presentazione della domanda) ………………………….</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805EC53"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46480A69"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54C44B5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w:t>
            </w:r>
          </w:p>
        </w:tc>
      </w:tr>
      <w:tr w:rsidR="00972A3C" w:rsidRPr="00CC2A50" w14:paraId="5B1BCF50" w14:textId="77777777" w:rsidTr="00241D48">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5344587"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15C07D7"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12A574A3"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70784729"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514EE7B4"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w:t>
            </w:r>
          </w:p>
        </w:tc>
      </w:tr>
      <w:tr w:rsidR="00972A3C" w:rsidRPr="00CC2A50" w14:paraId="7FA429FE" w14:textId="77777777" w:rsidTr="00241D48">
        <w:trPr>
          <w:trHeight w:val="695"/>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4ED119E" w14:textId="44F47D09"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 per ogni mese o frazione superiore a 15 giorni di servizio non di ruolo o di altro servizio riconosciuto o riconoscibile (3) (11) (a)……………………………………………………………………………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8EE78FC"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 Trasferimenti d’ufficio</w:t>
            </w:r>
          </w:p>
        </w:tc>
      </w:tr>
      <w:tr w:rsidR="00972A3C" w:rsidRPr="00CC2A50" w14:paraId="15C0FC49" w14:textId="77777777" w:rsidTr="00241D48">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7EBFC4B"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B1)  per ogni mese o frazione superiore a 15 giorni di servizio non di ruolo o di altro servizio  riconosciuto o riconoscibile effettivamente prestato in scuole o istituti situati nelle piccole isole in aggiunta al punteggio di cui al punto B) (3) (11) (a)………………………………………………………………..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33AAF6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4D66BF74"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79CBAD36"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w:t>
            </w:r>
          </w:p>
        </w:tc>
      </w:tr>
      <w:tr w:rsidR="00972A3C" w:rsidRPr="00CC2A50" w14:paraId="2D1E1F9A" w14:textId="77777777" w:rsidTr="00241D48">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79B462D" w14:textId="209C1271"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 per ogni anno o frazione superiore ai 6 mesi di servizio effettivamente prestato a qualsiasi titolo in Pubbliche Amministrazioni o negli Enti Locali (b)………………………………………………….</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ADFF508"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4CC7EEB9"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w:t>
            </w:r>
          </w:p>
        </w:tc>
      </w:tr>
      <w:tr w:rsidR="00972A3C" w:rsidRPr="00CC2A50" w14:paraId="0347AAD1" w14:textId="77777777" w:rsidTr="00241D48">
        <w:trPr>
          <w:trHeight w:val="1728"/>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7AF1C1A"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 per ogni anno intero di servizio prestato nel profilo di appartenenza senza soluzione di continuità per almeno un triennio nella scuola di attuale titolarità (4) (11) (in aggiunta a quello previsto dalle lettere A) e B) (c) (d)</w:t>
            </w:r>
          </w:p>
          <w:p w14:paraId="13D60463" w14:textId="23FDC2DE"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entro il quinquennio………………………………………………………</w:t>
            </w:r>
          </w:p>
          <w:p w14:paraId="14731605" w14:textId="27707743"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oltre il quinquennio……………………………………………………….</w:t>
            </w:r>
          </w:p>
          <w:p w14:paraId="1E207F4E"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per il servizio prestato nelle piccole isole il punteggio si raddoppia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FC0A3BB"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7C56395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12E19FFC"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8</w:t>
            </w:r>
          </w:p>
          <w:p w14:paraId="74C34C01"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r w:rsidR="00972A3C" w:rsidRPr="00CC2A50" w14:paraId="3C93CCF7" w14:textId="77777777" w:rsidTr="00241D48">
        <w:trPr>
          <w:trHeight w:val="1271"/>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F70CF7E" w14:textId="21FDAC95"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r w:rsidR="00770344">
              <w:rPr>
                <w:rFonts w:ascii="Tahoma" w:eastAsia="Calibri" w:hAnsi="Tahoma" w:cs="Tahoma"/>
                <w:sz w:val="18"/>
                <w:szCs w:val="18"/>
                <w:lang w:eastAsia="en-US"/>
              </w:rPr>
              <w:t xml:space="preserve"> </w:t>
            </w:r>
            <w:r w:rsidRPr="00CC2A50">
              <w:rPr>
                <w:rFonts w:ascii="Tahoma" w:eastAsia="Calibri" w:hAnsi="Tahoma" w:cs="Tahoma"/>
                <w:sz w:val="18"/>
                <w:szCs w:val="18"/>
                <w:lang w:eastAsia="en-US"/>
              </w:rPr>
              <w:t>………………………………………………………………….</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5D4FE2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6725EB03"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34B5C6AE"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4</w:t>
            </w:r>
          </w:p>
        </w:tc>
      </w:tr>
      <w:tr w:rsidR="00972A3C" w:rsidRPr="00CC2A50" w14:paraId="7EC1DF79" w14:textId="77777777" w:rsidTr="00241D48">
        <w:trPr>
          <w:trHeight w:val="1530"/>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D2AEBB6"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2A15FA3"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43DEC4BC"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542E35F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0BD829A2"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40</w:t>
            </w:r>
          </w:p>
        </w:tc>
      </w:tr>
    </w:tbl>
    <w:p w14:paraId="6EA72AED" w14:textId="77777777" w:rsidR="00972A3C" w:rsidRPr="00CC2A50" w:rsidRDefault="00972A3C" w:rsidP="00972A3C">
      <w:pPr>
        <w:autoSpaceDE/>
        <w:autoSpaceDN/>
        <w:spacing w:after="200" w:line="276" w:lineRule="auto"/>
        <w:rPr>
          <w:rFonts w:ascii="Tahoma" w:eastAsia="Calibri" w:hAnsi="Tahoma" w:cs="Tahoma"/>
          <w:sz w:val="18"/>
          <w:szCs w:val="18"/>
          <w:lang w:eastAsia="en-US"/>
        </w:rPr>
      </w:pPr>
    </w:p>
    <w:p w14:paraId="1E26BD9C" w14:textId="00262C80" w:rsidR="00972A3C" w:rsidRPr="00CC2A50" w:rsidRDefault="00972A3C" w:rsidP="00972A3C">
      <w:pPr>
        <w:autoSpaceDE/>
        <w:autoSpaceDN/>
        <w:spacing w:after="200" w:line="276" w:lineRule="auto"/>
        <w:jc w:val="both"/>
        <w:rPr>
          <w:rFonts w:ascii="Tahoma" w:eastAsia="Calibri" w:hAnsi="Tahoma" w:cs="Tahoma"/>
          <w:b/>
          <w:sz w:val="18"/>
          <w:szCs w:val="18"/>
          <w:lang w:eastAsia="en-US"/>
        </w:rPr>
      </w:pPr>
      <w:r w:rsidRPr="00CC2A50">
        <w:rPr>
          <w:rFonts w:ascii="Tahoma" w:eastAsia="Calibri" w:hAnsi="Tahoma" w:cs="Tahoma"/>
          <w:sz w:val="18"/>
          <w:szCs w:val="18"/>
          <w:lang w:eastAsia="en-US"/>
        </w:rPr>
        <w:t xml:space="preserve">(a) 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w:t>
      </w:r>
      <w:r w:rsidR="00770344">
        <w:rPr>
          <w:rFonts w:ascii="Tahoma" w:eastAsia="Calibri" w:hAnsi="Tahoma" w:cs="Tahoma"/>
          <w:sz w:val="18"/>
          <w:szCs w:val="18"/>
          <w:lang w:eastAsia="en-US"/>
        </w:rPr>
        <w:t>f</w:t>
      </w:r>
      <w:r w:rsidRPr="00CC2A50">
        <w:rPr>
          <w:rFonts w:ascii="Tahoma" w:eastAsia="Calibri" w:hAnsi="Tahoma" w:cs="Tahoma"/>
          <w:sz w:val="18"/>
          <w:szCs w:val="18"/>
          <w:lang w:eastAsia="en-US"/>
        </w:rPr>
        <w:t>osse stato svolto servizio scolastico statale, di ruolo o non di ruolo, nei ruoli ATA.</w:t>
      </w:r>
    </w:p>
    <w:p w14:paraId="4F44D8B8" w14:textId="7688FC7C" w:rsidR="00972A3C" w:rsidRPr="00CC2A50" w:rsidRDefault="00972A3C" w:rsidP="00972A3C">
      <w:pPr>
        <w:autoSpaceDE/>
        <w:autoSpaceDN/>
        <w:spacing w:after="200" w:line="276" w:lineRule="auto"/>
        <w:jc w:val="both"/>
        <w:rPr>
          <w:rFonts w:ascii="Tahoma" w:eastAsia="Calibri" w:hAnsi="Tahoma" w:cs="Tahoma"/>
          <w:b/>
          <w:sz w:val="18"/>
          <w:szCs w:val="18"/>
          <w:lang w:eastAsia="en-US"/>
        </w:rPr>
      </w:pPr>
      <w:r w:rsidRPr="00CC2A50">
        <w:rPr>
          <w:rFonts w:ascii="Tahoma" w:eastAsia="Calibri" w:hAnsi="Tahoma" w:cs="Tahoma"/>
          <w:sz w:val="18"/>
          <w:szCs w:val="18"/>
          <w:lang w:eastAsia="en-US"/>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 </w:t>
      </w:r>
      <w:r w:rsidRPr="00CC2A50">
        <w:rPr>
          <w:rFonts w:ascii="Tahoma" w:eastAsia="Calibri" w:hAnsi="Tahoma" w:cs="Tahoma"/>
          <w:sz w:val="18"/>
          <w:szCs w:val="18"/>
          <w:lang w:eastAsia="en-US"/>
        </w:rPr>
        <w:tab/>
      </w:r>
    </w:p>
    <w:p w14:paraId="1F3AFCE3" w14:textId="004B0EAC"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   (c)Tale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w:t>
      </w:r>
    </w:p>
    <w:p w14:paraId="3504557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024FE7F7"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4E829C83"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Ai fini della maturazione una tantum del punteggio è utile un triennio compreso nel periodo intercorrente tra le domande di mobilità per l’a.s. 2000/2001 e quelle per l’anno scolastico 2007/2008.</w:t>
      </w:r>
    </w:p>
    <w:p w14:paraId="03BB26C3"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Con le domande di mobilità per l’anno scolastico 2007/2008 si è, infatti, concluso il periodo utile per l’acquisizione del punteggio aggiuntivo a seguito della maturazione del triennio.</w:t>
      </w:r>
    </w:p>
    <w:p w14:paraId="3DCAB0CD"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23ED7786" w14:textId="5A7E8611"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Tale punteggio viene, inoltre, riconosciuto anche a coloro che, nel suddetto periodo, hanno presentato in ambito provinciale:</w:t>
      </w:r>
    </w:p>
    <w:p w14:paraId="680F1B5B" w14:textId="77777777" w:rsidR="00972A3C" w:rsidRPr="00CC2A50" w:rsidRDefault="00972A3C" w:rsidP="00972A3C">
      <w:pPr>
        <w:numPr>
          <w:ilvl w:val="0"/>
          <w:numId w:val="1"/>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domanda condizionata di trasferimento in quanto individuati soprannumerari;</w:t>
      </w:r>
    </w:p>
    <w:p w14:paraId="26995D6F" w14:textId="42EA331D" w:rsidR="00972A3C" w:rsidRPr="00CC2A50" w:rsidRDefault="00972A3C" w:rsidP="00972A3C">
      <w:pPr>
        <w:numPr>
          <w:ilvl w:val="0"/>
          <w:numId w:val="1"/>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domanda di rientro nella scuola di precedente titolarità nel quinquennio di fruizione del diritto alla precedenza di cui ai punti II e V</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dell’art. 40, comma 1 del CCNI.</w:t>
      </w:r>
    </w:p>
    <w:p w14:paraId="64A229F6"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Tale punteggio, una volta acquisito, si perde esclusivamente nel caso in cui si ottenga, a seguito di domanda volontaria in ambito provinciale, il trasferimento, il passaggio o l’assegnazione provvisoria.</w:t>
      </w:r>
    </w:p>
    <w:p w14:paraId="3C30BCE0"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Nei riguardi del personale ATA individuato soprannumerario e trasferito d’ufficio senza aver prodotto domanda o trasferito a domanda condizionata, non fa perdere il riconoscimento del punteggio aggiuntivo l’aver ottenuto nel corso del  periodo </w:t>
      </w:r>
      <w:r w:rsidRPr="00CC2A50">
        <w:rPr>
          <w:rFonts w:ascii="Tahoma" w:eastAsia="Calibri" w:hAnsi="Tahoma" w:cs="Tahoma"/>
          <w:sz w:val="18"/>
          <w:szCs w:val="18"/>
          <w:lang w:eastAsia="en-US"/>
        </w:rPr>
        <w:lastRenderedPageBreak/>
        <w:t>di fruizione del diritto alla precedenza di cui ai punti II e V dell’art.40, comma 1 del CCNI, il rientro nella scuola o nel comune di precedente titolarità, il trasferimento per altre preferenze espresse nella domanda o l’assegnazione provvisoria.</w:t>
      </w:r>
    </w:p>
    <w:p w14:paraId="34CAB68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Analogamente non perde il riconoscimento del punteggio aggiuntivo il personale trasferito d’ufficio o a domanda condizionata che nel periodo di cui sopra non chiede il rientro nella scuola di precedente titolarità.</w:t>
      </w:r>
    </w:p>
    <w:p w14:paraId="5FC9ABD1"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In ogni caso la sola presentazione della domanda di mobilità, anche in ambito provinciale, non determina la perdita del punteggio aggiuntivo una volta che lo stesso è stato acquisito.</w:t>
      </w:r>
    </w:p>
    <w:p w14:paraId="56D1490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 </w:t>
      </w:r>
    </w:p>
    <w:p w14:paraId="35EBF5D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II - ESIGENZE DI FAMIGLIA (4TER) (5) (5 bis) (5 ter) :</w:t>
      </w:r>
    </w:p>
    <w:tbl>
      <w:tblPr>
        <w:tblW w:w="9709" w:type="dxa"/>
        <w:tblLayout w:type="fixed"/>
        <w:tblCellMar>
          <w:left w:w="10" w:type="dxa"/>
          <w:right w:w="10" w:type="dxa"/>
        </w:tblCellMar>
        <w:tblLook w:val="0000" w:firstRow="0" w:lastRow="0" w:firstColumn="0" w:lastColumn="0" w:noHBand="0" w:noVBand="0"/>
      </w:tblPr>
      <w:tblGrid>
        <w:gridCol w:w="7583"/>
        <w:gridCol w:w="2126"/>
      </w:tblGrid>
      <w:tr w:rsidR="00972A3C" w:rsidRPr="00CC2A50" w14:paraId="3853DB3A" w14:textId="77777777" w:rsidTr="00241D48">
        <w:trPr>
          <w:trHeight w:val="586"/>
        </w:trPr>
        <w:tc>
          <w:tcPr>
            <w:tcW w:w="7583"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38437148"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Tipo di esigenza</w:t>
            </w:r>
          </w:p>
        </w:tc>
        <w:tc>
          <w:tcPr>
            <w:tcW w:w="2126"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0E5D9CC5"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Punteggio </w:t>
            </w:r>
          </w:p>
        </w:tc>
      </w:tr>
      <w:tr w:rsidR="00972A3C" w:rsidRPr="00CC2A50" w14:paraId="0B60D773" w14:textId="77777777" w:rsidTr="00241D48">
        <w:trPr>
          <w:trHeight w:val="1213"/>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40E199D"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 per ricongiungimento o riavvicinamento al coniuge ovvero, nel caso di personale senza coniuge o separato giudizialmente o consensualmente con atto omologato dal tribunale, per ricongiungimento o riavvicinamento ai genitori o ai figli (5)…………………………………………………………</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2BF951D6"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16C54241"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288B8457" w14:textId="2B9213CF"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24</w:t>
            </w:r>
          </w:p>
        </w:tc>
      </w:tr>
      <w:tr w:rsidR="00972A3C" w:rsidRPr="00CC2A50" w14:paraId="225880D4" w14:textId="77777777" w:rsidTr="00241D48">
        <w:trPr>
          <w:trHeight w:val="565"/>
        </w:trPr>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D360217" w14:textId="4683C9A5"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 per ogni figlio di età inferiore a sei anni (6)</w:t>
            </w:r>
            <w:r w:rsidR="00770344">
              <w:rPr>
                <w:rFonts w:ascii="Tahoma" w:eastAsia="Calibri" w:hAnsi="Tahoma" w:cs="Tahoma"/>
                <w:sz w:val="18"/>
                <w:szCs w:val="18"/>
                <w:lang w:eastAsia="en-US"/>
              </w:rPr>
              <w:t xml:space="preserve"> </w:t>
            </w:r>
            <w:r w:rsidRPr="00CC2A50">
              <w:rPr>
                <w:rFonts w:ascii="Tahoma" w:eastAsia="Calibri" w:hAnsi="Tahoma" w:cs="Tahoma"/>
                <w:sz w:val="18"/>
                <w:szCs w:val="18"/>
                <w:lang w:eastAsia="en-US"/>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BFADF62"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16</w:t>
            </w:r>
          </w:p>
        </w:tc>
      </w:tr>
      <w:tr w:rsidR="00972A3C" w:rsidRPr="00CC2A50" w14:paraId="265E07C2" w14:textId="77777777" w:rsidTr="00241D48">
        <w:trPr>
          <w:trHeight w:val="970"/>
        </w:trPr>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385310C5" w14:textId="1CCACFC9"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 per ogni figlio di età superiore ai sei anni, ma che non abbia superato il diciottesimo anno di età (6) ovvero per ogni figlio maggiorenne che risulti totalmente o permanentemente inabile a proficuo lavoro</w:t>
            </w:r>
            <w:r w:rsidR="00770344">
              <w:rPr>
                <w:rFonts w:ascii="Tahoma" w:eastAsia="Calibri" w:hAnsi="Tahoma" w:cs="Tahoma"/>
                <w:sz w:val="18"/>
                <w:szCs w:val="18"/>
                <w:lang w:eastAsia="en-US"/>
              </w:rPr>
              <w:t xml:space="preserve"> </w:t>
            </w:r>
            <w:r w:rsidRPr="00CC2A50">
              <w:rPr>
                <w:rFonts w:ascii="Tahoma" w:eastAsia="Calibri" w:hAnsi="Tahoma" w:cs="Tahoma"/>
                <w:sz w:val="18"/>
                <w:szCs w:val="18"/>
                <w:lang w:eastAsia="en-US"/>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65B7218B"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3D8EB261" w14:textId="1E0EB21C"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r w:rsidR="00972A3C" w:rsidRPr="00CC2A50" w14:paraId="6EDFFC06" w14:textId="77777777" w:rsidTr="00241D48">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05C732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 per la cura e l'assistenza dei figli minorati fisici, psichici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75B93756"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5D8CDE98"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00445B4B"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596EF934"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115B1923" w14:textId="34D3A1B5"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24</w:t>
            </w:r>
          </w:p>
        </w:tc>
      </w:tr>
    </w:tbl>
    <w:p w14:paraId="21D467BF" w14:textId="77777777" w:rsidR="00972A3C" w:rsidRPr="00CC2A50" w:rsidRDefault="00972A3C" w:rsidP="00972A3C">
      <w:pPr>
        <w:autoSpaceDE/>
        <w:autoSpaceDN/>
        <w:spacing w:after="200" w:line="276" w:lineRule="auto"/>
        <w:rPr>
          <w:rFonts w:ascii="Tahoma" w:eastAsia="Calibri" w:hAnsi="Tahoma" w:cs="Tahoma"/>
          <w:sz w:val="18"/>
          <w:szCs w:val="18"/>
          <w:lang w:eastAsia="en-US"/>
        </w:rPr>
      </w:pPr>
    </w:p>
    <w:p w14:paraId="6C9CBDB6" w14:textId="77777777" w:rsidR="00972A3C" w:rsidRPr="00CC2A50" w:rsidRDefault="00972A3C" w:rsidP="00972A3C">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III - TITOLI GENERALI</w:t>
      </w:r>
    </w:p>
    <w:p w14:paraId="5426D937" w14:textId="77777777" w:rsidR="00972A3C" w:rsidRPr="00CC2A50" w:rsidRDefault="00972A3C" w:rsidP="00972A3C">
      <w:pPr>
        <w:autoSpaceDE/>
        <w:autoSpaceDN/>
        <w:spacing w:after="200" w:line="276" w:lineRule="auto"/>
        <w:rPr>
          <w:rFonts w:ascii="Tahoma" w:eastAsia="Calibri" w:hAnsi="Tahoma" w:cs="Tahoma"/>
          <w:sz w:val="18"/>
          <w:szCs w:val="18"/>
          <w:lang w:eastAsia="en-US"/>
        </w:rPr>
      </w:pPr>
    </w:p>
    <w:tbl>
      <w:tblPr>
        <w:tblW w:w="9709" w:type="dxa"/>
        <w:tblLayout w:type="fixed"/>
        <w:tblCellMar>
          <w:left w:w="10" w:type="dxa"/>
          <w:right w:w="10" w:type="dxa"/>
        </w:tblCellMar>
        <w:tblLook w:val="0000" w:firstRow="0" w:lastRow="0" w:firstColumn="0" w:lastColumn="0" w:noHBand="0" w:noVBand="0"/>
      </w:tblPr>
      <w:tblGrid>
        <w:gridCol w:w="7583"/>
        <w:gridCol w:w="2126"/>
      </w:tblGrid>
      <w:tr w:rsidR="00972A3C" w:rsidRPr="00CC2A50" w14:paraId="318D8C89" w14:textId="77777777" w:rsidTr="00241D48">
        <w:tc>
          <w:tcPr>
            <w:tcW w:w="7583"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7167F49C"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Tipo di titolo </w:t>
            </w:r>
          </w:p>
        </w:tc>
        <w:tc>
          <w:tcPr>
            <w:tcW w:w="2126"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14:paraId="3C1FF883"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Punteggio </w:t>
            </w:r>
          </w:p>
        </w:tc>
      </w:tr>
      <w:tr w:rsidR="00972A3C" w:rsidRPr="00CC2A50" w14:paraId="1E2D878F" w14:textId="77777777" w:rsidTr="00241D48">
        <w:trPr>
          <w:trHeight w:val="795"/>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1E554088" w14:textId="38C41E38"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 per l'inclusione nella graduatoria di merito di concorsi per esami per l'accesso al ruolo di appartenenza (9) ………………………...……...</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4799764D"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655C3A18"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r w:rsidR="00972A3C" w:rsidRPr="00CC2A50" w14:paraId="5E54B734" w14:textId="77777777" w:rsidTr="00241D48">
        <w:trPr>
          <w:trHeight w:val="837"/>
        </w:trPr>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53B62E72" w14:textId="71C31EFF"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 per l'inclusione nella graduatoria di merito di concorsi per esami per l'accesso al ruolo di livello superiore a quello di appartenenza</w:t>
            </w:r>
            <w:r w:rsidR="00770344">
              <w:rPr>
                <w:rFonts w:ascii="Tahoma" w:eastAsia="Calibri" w:hAnsi="Tahoma" w:cs="Tahoma"/>
                <w:sz w:val="18"/>
                <w:szCs w:val="18"/>
                <w:lang w:eastAsia="en-US"/>
              </w:rPr>
              <w:t xml:space="preserve"> </w:t>
            </w:r>
            <w:r w:rsidRPr="00CC2A50">
              <w:rPr>
                <w:rFonts w:ascii="Tahoma" w:eastAsia="Calibri" w:hAnsi="Tahoma" w:cs="Tahoma"/>
                <w:sz w:val="18"/>
                <w:szCs w:val="18"/>
                <w:lang w:eastAsia="en-US"/>
              </w:rPr>
              <w:t>(10)</w:t>
            </w:r>
            <w:r w:rsidR="00770344">
              <w:rPr>
                <w:rFonts w:ascii="Tahoma" w:eastAsia="Calibri" w:hAnsi="Tahoma" w:cs="Tahoma"/>
                <w:sz w:val="18"/>
                <w:szCs w:val="18"/>
                <w:lang w:eastAsia="en-US"/>
              </w:rPr>
              <w:t xml:space="preserve"> ………</w:t>
            </w:r>
            <w:r w:rsidRPr="00CC2A50">
              <w:rPr>
                <w:rFonts w:ascii="Tahoma" w:eastAsia="Calibri" w:hAnsi="Tahoma" w:cs="Tahoma"/>
                <w:sz w:val="18"/>
                <w:szCs w:val="18"/>
                <w:lang w:eastAsia="en-US"/>
              </w:rPr>
              <w: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14:paraId="0F20BFC8"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p>
          <w:p w14:paraId="766A1280" w14:textId="77777777" w:rsidR="00972A3C" w:rsidRPr="00CC2A50" w:rsidRDefault="00972A3C" w:rsidP="00241D48">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bl>
    <w:p w14:paraId="730525B9" w14:textId="77777777" w:rsidR="00972A3C" w:rsidRPr="00CC2A50" w:rsidRDefault="00972A3C" w:rsidP="00972A3C">
      <w:pPr>
        <w:autoSpaceDE/>
        <w:autoSpaceDN/>
        <w:spacing w:after="200" w:line="276" w:lineRule="auto"/>
        <w:rPr>
          <w:rFonts w:ascii="Tahoma" w:eastAsia="Calibri" w:hAnsi="Tahoma" w:cs="Tahoma"/>
          <w:sz w:val="18"/>
          <w:szCs w:val="18"/>
          <w:lang w:eastAsia="en-US"/>
        </w:rPr>
      </w:pPr>
    </w:p>
    <w:p w14:paraId="27851043" w14:textId="77777777" w:rsidR="00972A3C" w:rsidRPr="00CC2A50" w:rsidRDefault="00972A3C" w:rsidP="00972A3C">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NOTE</w:t>
      </w:r>
    </w:p>
    <w:p w14:paraId="36CD9D1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0910C238"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Ai fini della validità della certificazione richiesta si richiama quanto disposto dalla legge delle disposizioni contenute nel D.P.R. 28.12.2000, n. 445 e successive modifiche ed integrazioni.</w:t>
      </w:r>
    </w:p>
    <w:p w14:paraId="62F794A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(2) E' valutato il periodo coperto da decorrenza giuridica della nomina purché sia stato prestato effettivo servizio nello stesso profilo professionale. Sono comunque valutati con il punteggio previsto dalla presente voce i seguenti servizi:</w:t>
      </w:r>
    </w:p>
    <w:p w14:paraId="4F0F320C"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di ruolo prestato quale assistente di scuola materna per il personale iscritto nei ruoli della carriera esecutiva ai sensi dell'art. 8, della legge n. 463/78</w:t>
      </w:r>
      <w:r w:rsidRPr="00CC2A50">
        <w:rPr>
          <w:rFonts w:ascii="Tahoma" w:eastAsia="Calibri" w:hAnsi="Tahoma" w:cs="Tahoma"/>
          <w:b/>
          <w:sz w:val="18"/>
          <w:szCs w:val="18"/>
          <w:lang w:eastAsia="en-US"/>
        </w:rPr>
        <w:t>;</w:t>
      </w:r>
      <w:r w:rsidRPr="00CC2A50">
        <w:rPr>
          <w:rFonts w:ascii="Tahoma" w:eastAsia="Calibri" w:hAnsi="Tahoma" w:cs="Tahoma"/>
          <w:sz w:val="18"/>
          <w:szCs w:val="18"/>
          <w:lang w:eastAsia="en-US"/>
        </w:rPr>
        <w:t xml:space="preserve"> il servizio di ruolo prestato quale accudiente di convitto dal personale transitato nella terza qualifica ai sensi dell'art. 49, della legge n. 312/80;</w:t>
      </w:r>
    </w:p>
    <w:p w14:paraId="14FFCC9B" w14:textId="6589060F"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14:paraId="34590C68"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in profilo diverso da quello di appartenenza a seguito di utilizzazione o assegnazione provvisoria;</w:t>
      </w:r>
    </w:p>
    <w:p w14:paraId="573DD12A"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798E1ADC"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5BA96B9F"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dal personale inidoneo durante il periodo di collocamento fuori ruolo ai sensi dell’art. 23 – comma 5, del C.C.N.L. sottoscritto il 4 agosto 1995 in mansioni parziali del profilo di appartenenza o in altro profilo comunque coerenti;</w:t>
      </w:r>
    </w:p>
    <w:p w14:paraId="0D929CCA"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4C95A5AF" w14:textId="54BA5D2B"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per l’attribuzione del punteggio relativo al servizio effettivamente prestato nelle scuole o istituti situati nelle piccole isole si prescinde dal requisito della residenza in sede;</w:t>
      </w:r>
    </w:p>
    <w:p w14:paraId="2401FC2C"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al personale ATA di ruolo collocato in congedo straordinario per motivi di studio senza assegni ai sensi dell'art. 2, della legge 13/08/1984, n. 476, per la frequenza di dottorato di ricerca o in quanto assegna</w:t>
      </w:r>
      <w:r w:rsidRPr="00CC2A50">
        <w:rPr>
          <w:rFonts w:ascii="Tahoma" w:eastAsia="Calibri" w:hAnsi="Tahoma" w:cs="Tahoma"/>
          <w:sz w:val="18"/>
          <w:szCs w:val="18"/>
          <w:lang w:eastAsia="en-US"/>
        </w:rPr>
        <w:softHyphen/>
        <w:t>tario di borse di studio da parte di amministrazioni statali, enti pubblici, stati stranieri, enti od organismi internazionali, è valutato con il punteggio previsto dalla presente voce il periodo della durata del corso o della borsa di studio;</w:t>
      </w:r>
    </w:p>
    <w:p w14:paraId="7B33F667"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per l'attribuzione dei punteggi previsti per l'anzianità di servizio - punto I, lettere A), B), C), D)  agli insegnanti elementari collocati permanentemente fuori ruolo, ai sensi dell’art. 21, della legge 9.8.1978,n. 463 è valutato il </w:t>
      </w:r>
      <w:r w:rsidRPr="00CC2A50">
        <w:rPr>
          <w:rFonts w:ascii="Tahoma" w:eastAsia="Calibri" w:hAnsi="Tahoma" w:cs="Tahoma"/>
          <w:sz w:val="18"/>
          <w:szCs w:val="18"/>
          <w:lang w:eastAsia="en-US"/>
        </w:rPr>
        <w:lastRenderedPageBreak/>
        <w:t>servizio prestato nella carriera di appartenenza, sia in qualità di insegnante elementare sia con mansioni di responsabile amministrativo;</w:t>
      </w:r>
    </w:p>
    <w:p w14:paraId="1380C621"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4E3DAB71" w14:textId="77777777" w:rsidR="00972A3C" w:rsidRPr="00CC2A50" w:rsidRDefault="00972A3C" w:rsidP="00972A3C">
      <w:pPr>
        <w:numPr>
          <w:ilvl w:val="0"/>
          <w:numId w:val="2"/>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per ogni anno prestato nei Paesi in via di sviluppo il punteggio è raddoppiato.</w:t>
      </w:r>
    </w:p>
    <w:p w14:paraId="2EE6E485"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Non interrompe la maturazione del punteggio del servizio la fruizione del congedo biennale per l’assistenza a familiari con grave disabilità di cui all’art. 5 del D.L.vo n. 151/2001 e successive modifiche ed integrazioni.</w:t>
      </w:r>
    </w:p>
    <w:p w14:paraId="6AD98D51"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3) La valutazione del servizio pre-ruolo svolto nella medesima area di appartenenza viene effettuata secondo il punteggio di cui alla tabella A dell’allegato E -lett. B (punti 2 nella mobilità a domanda; punti 1 nella mobilità d’ufficio). </w:t>
      </w:r>
    </w:p>
    <w:p w14:paraId="370F55CF"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625BC9ED"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p>
    <w:p w14:paraId="765E803B"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Per la mobilità a domanda il numero di anni e mesi di servizio pre ruolo si valuta per intero, mentre per la mobilità d’ufficio i primi 4 anni sono valutati per intero e il periodo eccedente nella misura di i due terzi.</w:t>
      </w:r>
    </w:p>
    <w:p w14:paraId="226A504C"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br/>
        <w:t>Con il punteggio previsto dalla presente voce vanno valutati i seguenti servizi o periodi:</w:t>
      </w:r>
    </w:p>
    <w:p w14:paraId="639726A2" w14:textId="77777777" w:rsidR="00972A3C" w:rsidRPr="00CC2A50" w:rsidRDefault="00972A3C" w:rsidP="00972A3C">
      <w:pPr>
        <w:numPr>
          <w:ilvl w:val="0"/>
          <w:numId w:val="3"/>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di ruolo prestato in qualità di docente;</w:t>
      </w:r>
    </w:p>
    <w:p w14:paraId="38B20971" w14:textId="77777777" w:rsidR="00972A3C" w:rsidRPr="00CC2A50" w:rsidRDefault="00972A3C" w:rsidP="00972A3C">
      <w:pPr>
        <w:numPr>
          <w:ilvl w:val="0"/>
          <w:numId w:val="3"/>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non di ruolo ed il servizio militare riconosciuto o riconoscibile ai fini della carriera ai sensi dell’art. 569 del Decreto legislativo 297/94 e successive modifiche;</w:t>
      </w:r>
    </w:p>
    <w:p w14:paraId="2120FFCE" w14:textId="77777777" w:rsidR="00972A3C" w:rsidRPr="00CC2A50" w:rsidRDefault="00972A3C" w:rsidP="00972A3C">
      <w:pPr>
        <w:numPr>
          <w:ilvl w:val="0"/>
          <w:numId w:val="3"/>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di ruolo prestato in area diversa.</w:t>
      </w:r>
    </w:p>
    <w:p w14:paraId="0A024DD1"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Sono valutabili anche i servizi il cui riconoscimento sia richiesto da personale ancora in periodo di prova.</w:t>
      </w:r>
    </w:p>
    <w:p w14:paraId="15700573"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periodo di anzianità derivante da decorrenza giuridica della nomina antecedente alla decorrenza econo</w:t>
      </w:r>
      <w:r w:rsidRPr="00CC2A50">
        <w:rPr>
          <w:rFonts w:ascii="Tahoma" w:eastAsia="Calibri" w:hAnsi="Tahoma" w:cs="Tahoma"/>
          <w:sz w:val="18"/>
          <w:szCs w:val="18"/>
          <w:lang w:eastAsia="en-US"/>
        </w:rPr>
        <w:softHyphen/>
        <w:t>mica nel caso in cui non sia stato prestato effettivo servizio si valuta per intero.</w:t>
      </w:r>
    </w:p>
    <w:p w14:paraId="058DBAF0"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29493878"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w:t>
      </w:r>
      <w:r w:rsidRPr="00CC2A50">
        <w:rPr>
          <w:rFonts w:ascii="Tahoma" w:eastAsia="Calibri" w:hAnsi="Tahoma" w:cs="Tahoma"/>
          <w:sz w:val="18"/>
          <w:szCs w:val="18"/>
          <w:lang w:eastAsia="en-US"/>
        </w:rPr>
        <w:lastRenderedPageBreak/>
        <w:t>di sdoppiamento, o di aggregazione di istituti, la titolarità ed il servizio relativi alla scuola di nuova istituzione devono ricongiungersi alla titolarità ed al servizio relativi alla scuola sdoppiata o aggregata al fine dell’attribuzione del pun</w:t>
      </w:r>
      <w:r w:rsidRPr="00CC2A50">
        <w:rPr>
          <w:rFonts w:ascii="Tahoma" w:eastAsia="Calibri" w:hAnsi="Tahoma" w:cs="Tahoma"/>
          <w:sz w:val="18"/>
          <w:szCs w:val="18"/>
          <w:lang w:eastAsia="en-US"/>
        </w:rPr>
        <w:softHyphen/>
        <w:t>teggio in questione. Non interrompe la maturazione del punteggio della continuità neanche la fruizione  del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w:t>
      </w:r>
      <w:r w:rsidRPr="00CC2A50">
        <w:rPr>
          <w:rFonts w:ascii="Tahoma" w:eastAsia="Calibri" w:hAnsi="Tahoma" w:cs="Tahoma"/>
          <w:sz w:val="18"/>
          <w:szCs w:val="18"/>
          <w:lang w:eastAsia="en-US"/>
        </w:rPr>
        <w:softHyphen/>
        <w:t xml:space="preserve">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79081EAB"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Non interrompe, altresì, la continuità del servizio, l’utilizzazione per la sostituzione del DSGA, da parte del personale responsabile amministrativo o assistente amministrativo in scuola diversa da quella di titolarità.</w:t>
      </w:r>
    </w:p>
    <w:p w14:paraId="478D8679"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1B6CAFA5"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Ai fini della continuità del servizio non si valuta l’anno in corso.</w:t>
      </w:r>
    </w:p>
    <w:p w14:paraId="339AFEB2"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5C29BD84"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48585C66" w14:textId="77777777" w:rsidR="00972A3C" w:rsidRPr="00CC2A50" w:rsidRDefault="00972A3C" w:rsidP="00972A3C">
      <w:pPr>
        <w:numPr>
          <w:ilvl w:val="0"/>
          <w:numId w:val="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00DDA108" w14:textId="77777777" w:rsidR="00972A3C" w:rsidRPr="00CC2A50" w:rsidRDefault="00972A3C" w:rsidP="00972A3C">
      <w:pPr>
        <w:numPr>
          <w:ilvl w:val="0"/>
          <w:numId w:val="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lettera B) e lettera C) valgono sempre; </w:t>
      </w:r>
    </w:p>
    <w:p w14:paraId="51775991" w14:textId="77777777" w:rsidR="00972A3C" w:rsidRPr="00CC2A50" w:rsidRDefault="00972A3C" w:rsidP="00972A3C">
      <w:pPr>
        <w:numPr>
          <w:ilvl w:val="0"/>
          <w:numId w:val="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6AB3E937"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1306CA9C"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punteggio così calcolato viene utilizzato anche nelle operazioni di trasferimento d’ufficio del soprannumerario.</w:t>
      </w:r>
    </w:p>
    <w:p w14:paraId="06977E2B"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7CCFF3A3" w14:textId="0C950DCC"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r w:rsidRPr="00CC2A50">
        <w:rPr>
          <w:rFonts w:ascii="Tahoma" w:eastAsia="Calibri" w:hAnsi="Tahoma" w:cs="Tahoma"/>
          <w:sz w:val="18"/>
          <w:szCs w:val="18"/>
          <w:lang w:eastAsia="en-US"/>
        </w:rPr>
        <w:lastRenderedPageBreak/>
        <w:t>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50C2A103"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bis) Per i soli trasferimenti a domanda, le situazioni di cui al presente titolo non si valutano per i trasferimenti nell’ambito della stessa sede (per sede si intende “comune”).</w:t>
      </w:r>
    </w:p>
    <w:p w14:paraId="55A7C00A"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ter) Ai sensi della legge 76/2016 per coniuge si intende anche la parte dell’unione civile.</w:t>
      </w:r>
    </w:p>
    <w:p w14:paraId="1F7F1235" w14:textId="4CCCEFDC"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 (6) Il punteggio va attribuito anche per i figli che compiono i 6 anni o i 18 anni tra il 1° gennaio e il 31 dicembre dell'anno in cui si effettua il trasferimento.</w:t>
      </w:r>
    </w:p>
    <w:p w14:paraId="68EA352C"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(7) La valutazione è attribuita nei seguenti casi:</w:t>
      </w:r>
    </w:p>
    <w:p w14:paraId="7C06C27B" w14:textId="77777777" w:rsidR="00972A3C" w:rsidRPr="00CC2A50" w:rsidRDefault="00972A3C" w:rsidP="00972A3C">
      <w:pPr>
        <w:numPr>
          <w:ilvl w:val="0"/>
          <w:numId w:val="5"/>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figlio minorato ovvero coniuge, o genitore, ricoverati permanentemente in istituto di cura;</w:t>
      </w:r>
    </w:p>
    <w:p w14:paraId="2A5FDF4C" w14:textId="77777777" w:rsidR="00972A3C" w:rsidRPr="00CC2A50" w:rsidRDefault="00972A3C" w:rsidP="00972A3C">
      <w:pPr>
        <w:numPr>
          <w:ilvl w:val="0"/>
          <w:numId w:val="5"/>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figlio minorato, ovvero coniuge, o genitore, bisognosi di cure continuative presso un istituto di cura tali da comportare la necessità di risiedere nella sede dell'istituto medesimo.</w:t>
      </w:r>
    </w:p>
    <w:p w14:paraId="3B062EC4"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773CEBF8"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transitato dagli Enti Locali ai sensi dell’art. 8, comma 3, della L. n. 124/99.</w:t>
      </w:r>
    </w:p>
    <w:p w14:paraId="77356FF8" w14:textId="028BEB42"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58156611" w14:textId="77777777" w:rsidR="00972A3C" w:rsidRPr="00CC2A50" w:rsidRDefault="00972A3C" w:rsidP="00972A3C">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14:paraId="47F98672" w14:textId="77777777" w:rsidR="00972A3C" w:rsidRDefault="00972A3C"/>
    <w:sectPr w:rsidR="00972A3C" w:rsidSect="00154C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264BC"/>
    <w:multiLevelType w:val="multilevel"/>
    <w:tmpl w:val="87D0CB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A86601D"/>
    <w:multiLevelType w:val="multilevel"/>
    <w:tmpl w:val="234A3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DF2329C"/>
    <w:multiLevelType w:val="multilevel"/>
    <w:tmpl w:val="A6D4A4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4948AF"/>
    <w:multiLevelType w:val="multilevel"/>
    <w:tmpl w:val="33F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971464"/>
    <w:multiLevelType w:val="multilevel"/>
    <w:tmpl w:val="E5548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3C"/>
    <w:rsid w:val="000965A0"/>
    <w:rsid w:val="00154C24"/>
    <w:rsid w:val="006B02C4"/>
    <w:rsid w:val="00770344"/>
    <w:rsid w:val="008A2A78"/>
    <w:rsid w:val="00972A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FD591F"/>
  <w15:docId w15:val="{446AF183-496E-4C48-B1FA-F35977FC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2A3C"/>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770344"/>
    <w:pPr>
      <w:jc w:val="center"/>
    </w:pPr>
    <w:rPr>
      <w:b/>
      <w:bCs/>
    </w:rPr>
  </w:style>
  <w:style w:type="character" w:customStyle="1" w:styleId="TitoloCarattere">
    <w:name w:val="Titolo Carattere"/>
    <w:basedOn w:val="Carpredefinitoparagrafo"/>
    <w:link w:val="Titolo"/>
    <w:uiPriority w:val="99"/>
    <w:rsid w:val="00770344"/>
    <w:rPr>
      <w:rFonts w:ascii="Times New Roman" w:eastAsia="Times New Roman" w:hAnsi="Times New Roman" w:cs="Times New Roman"/>
      <w:b/>
      <w:bCs/>
      <w:sz w:val="20"/>
      <w:szCs w:val="20"/>
      <w:lang w:eastAsia="it-IT"/>
    </w:rPr>
  </w:style>
  <w:style w:type="paragraph" w:styleId="Sottotitolo">
    <w:name w:val="Subtitle"/>
    <w:basedOn w:val="Normale"/>
    <w:link w:val="SottotitoloCarattere"/>
    <w:uiPriority w:val="99"/>
    <w:qFormat/>
    <w:rsid w:val="00770344"/>
    <w:pPr>
      <w:jc w:val="center"/>
    </w:pPr>
    <w:rPr>
      <w:b/>
      <w:bCs/>
    </w:rPr>
  </w:style>
  <w:style w:type="character" w:customStyle="1" w:styleId="SottotitoloCarattere">
    <w:name w:val="Sottotitolo Carattere"/>
    <w:basedOn w:val="Carpredefinitoparagrafo"/>
    <w:link w:val="Sottotitolo"/>
    <w:uiPriority w:val="99"/>
    <w:rsid w:val="00770344"/>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rsid w:val="00770344"/>
    <w:pPr>
      <w:tabs>
        <w:tab w:val="center" w:pos="4819"/>
        <w:tab w:val="right" w:pos="9638"/>
      </w:tabs>
    </w:pPr>
  </w:style>
  <w:style w:type="character" w:customStyle="1" w:styleId="IntestazioneCarattere">
    <w:name w:val="Intestazione Carattere"/>
    <w:basedOn w:val="Carpredefinitoparagrafo"/>
    <w:link w:val="Intestazione"/>
    <w:uiPriority w:val="99"/>
    <w:rsid w:val="00770344"/>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4314</Words>
  <Characters>24596</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Rosa</dc:creator>
  <cp:lastModifiedBy>Rosa Seccia</cp:lastModifiedBy>
  <cp:revision>4</cp:revision>
  <dcterms:created xsi:type="dcterms:W3CDTF">2020-04-03T08:17:00Z</dcterms:created>
  <dcterms:modified xsi:type="dcterms:W3CDTF">2020-04-03T08:36:00Z</dcterms:modified>
</cp:coreProperties>
</file>